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1F" w:rsidRPr="005A231F" w:rsidRDefault="00204E3E">
      <w:pPr>
        <w:rPr>
          <w:b/>
        </w:rPr>
      </w:pPr>
      <w:r w:rsidRPr="005A231F">
        <w:rPr>
          <w:b/>
        </w:rPr>
        <w:t xml:space="preserve">                                                   </w:t>
      </w:r>
      <w:r w:rsidR="005A231F" w:rsidRPr="005A231F">
        <w:rPr>
          <w:b/>
        </w:rPr>
        <w:t xml:space="preserve">                                                                           Приложение № 1.1.</w:t>
      </w:r>
    </w:p>
    <w:p w:rsidR="005A231F" w:rsidRDefault="005A231F"/>
    <w:p w:rsidR="008C4912" w:rsidRDefault="005A231F">
      <w:r>
        <w:t xml:space="preserve">                                                     </w:t>
      </w:r>
      <w:r w:rsidR="00204E3E">
        <w:t xml:space="preserve"> ПОЯСНИТЕЛЬНАЯ ЗАПИСКА </w:t>
      </w:r>
    </w:p>
    <w:p w:rsidR="00204E3E" w:rsidRDefault="00204E3E">
      <w:r>
        <w:t xml:space="preserve">                            к </w:t>
      </w:r>
      <w:r w:rsidR="003E5C32">
        <w:t xml:space="preserve"> </w:t>
      </w:r>
      <w:r w:rsidR="00361162">
        <w:t xml:space="preserve"> </w:t>
      </w:r>
      <w:r>
        <w:t>отчету о выполнении государственного задания за 2014 год</w:t>
      </w:r>
    </w:p>
    <w:p w:rsidR="00204E3E" w:rsidRDefault="00204E3E"/>
    <w:p w:rsidR="00961A5C" w:rsidRDefault="00A80FD4" w:rsidP="00961A5C">
      <w:pPr>
        <w:autoSpaceDE w:val="0"/>
        <w:autoSpaceDN w:val="0"/>
        <w:adjustRightInd w:val="0"/>
        <w:spacing w:after="0" w:line="240" w:lineRule="auto"/>
        <w:ind w:firstLine="540"/>
        <w:jc w:val="both"/>
        <w:rPr>
          <w:rFonts w:ascii="Calibri" w:hAnsi="Calibri" w:cs="Calibri"/>
        </w:rPr>
      </w:pPr>
      <w:r>
        <w:t>Приказом Департамента культуры от 02.12.2013 года № 371/01-09 было утверждено государственное задание  БУ КТЦ « Югра-Классик» на 2014 год.</w:t>
      </w:r>
      <w:r w:rsidR="00074942">
        <w:t xml:space="preserve"> Объем бюджетных ассигнований на финансовое обеспечение выполнения государственного задания  «Концертно-зрелищная услуга»  определен в Приложении №1</w:t>
      </w:r>
      <w:r w:rsidR="00187AE4">
        <w:t xml:space="preserve"> к приказу</w:t>
      </w:r>
      <w:r w:rsidR="00074942">
        <w:t>, который рассчитан в соответствии с</w:t>
      </w:r>
      <w:r w:rsidR="00B516A6">
        <w:t xml:space="preserve"> </w:t>
      </w:r>
      <w:r w:rsidR="00B516A6">
        <w:rPr>
          <w:rFonts w:ascii="Calibri" w:hAnsi="Calibri" w:cs="Calibri"/>
        </w:rPr>
        <w:t>порядком формирования государственного задания в отношении государственных учреждений Ханты-Мансийского автономного округ</w:t>
      </w:r>
      <w:r w:rsidR="00961A5C">
        <w:rPr>
          <w:rFonts w:ascii="Calibri" w:hAnsi="Calibri" w:cs="Calibri"/>
        </w:rPr>
        <w:t xml:space="preserve">а - Югры </w:t>
      </w:r>
      <w:r w:rsidR="00B516A6">
        <w:rPr>
          <w:rFonts w:ascii="Calibri" w:hAnsi="Calibri" w:cs="Calibri"/>
        </w:rPr>
        <w:t xml:space="preserve"> (приложение 1)</w:t>
      </w:r>
      <w:r w:rsidR="00B516A6" w:rsidRPr="00B516A6">
        <w:rPr>
          <w:rFonts w:ascii="Calibri" w:hAnsi="Calibri" w:cs="Calibri"/>
        </w:rPr>
        <w:t xml:space="preserve"> </w:t>
      </w:r>
      <w:r w:rsidR="00B516A6">
        <w:rPr>
          <w:rFonts w:ascii="Calibri" w:hAnsi="Calibri" w:cs="Calibri"/>
        </w:rPr>
        <w:t xml:space="preserve">к </w:t>
      </w:r>
      <w:r w:rsidR="00B516A6" w:rsidRPr="00B516A6">
        <w:t xml:space="preserve">постановлению Правительства Ханты-Мансийского автономного округа - Югры </w:t>
      </w:r>
      <w:r w:rsidR="00961A5C" w:rsidRPr="00B516A6">
        <w:t>от 8 октября 2010 г. N 229-п</w:t>
      </w:r>
      <w:r w:rsidR="00961A5C">
        <w:t>. Согласно постановлению,</w:t>
      </w:r>
      <w:r w:rsidR="00961A5C" w:rsidRPr="00961A5C">
        <w:rPr>
          <w:rFonts w:ascii="Calibri" w:hAnsi="Calibri" w:cs="Calibri"/>
        </w:rPr>
        <w:t xml:space="preserve"> </w:t>
      </w:r>
      <w:r w:rsidR="00961A5C">
        <w:rPr>
          <w:rFonts w:ascii="Calibri" w:hAnsi="Calibri" w:cs="Calibri"/>
        </w:rPr>
        <w:t>расчет размера субсидий производится на основании нормативных затрат на оказание государственных услуг (выполнение работ) в рамках государственного задания и нормативных затрат на содержание с недвижимого имущества и особо ценного движимого имущества, закрепленного за бюджетным, автономным учреждениями автономного округа учредителем, или приобретенного бюджетным, автономным учреждениями автономного округа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указанное имущество, в том числе земельные участки.</w:t>
      </w:r>
    </w:p>
    <w:p w:rsidR="00961A5C" w:rsidRPr="00457756" w:rsidRDefault="00961A5C" w:rsidP="00961A5C">
      <w:pPr>
        <w:autoSpaceDE w:val="0"/>
        <w:autoSpaceDN w:val="0"/>
        <w:adjustRightInd w:val="0"/>
        <w:spacing w:after="0" w:line="240" w:lineRule="auto"/>
        <w:jc w:val="both"/>
        <w:rPr>
          <w:rFonts w:ascii="Calibri" w:hAnsi="Calibri" w:cs="Calibri"/>
        </w:rPr>
      </w:pPr>
      <w:r>
        <w:rPr>
          <w:rFonts w:ascii="Calibri" w:hAnsi="Calibri" w:cs="Calibri"/>
        </w:rPr>
        <w:t>(в ред</w:t>
      </w:r>
      <w:r w:rsidRPr="002345E3">
        <w:rPr>
          <w:rFonts w:ascii="Calibri" w:hAnsi="Calibri" w:cs="Calibri"/>
        </w:rPr>
        <w:t xml:space="preserve">. </w:t>
      </w:r>
      <w:hyperlink r:id="rId5" w:history="1">
        <w:r w:rsidRPr="002345E3">
          <w:rPr>
            <w:rFonts w:ascii="Calibri" w:hAnsi="Calibri" w:cs="Calibri"/>
          </w:rPr>
          <w:t>постановления</w:t>
        </w:r>
      </w:hyperlink>
      <w:r w:rsidRPr="002345E3">
        <w:rPr>
          <w:rFonts w:ascii="Calibri" w:hAnsi="Calibri" w:cs="Calibri"/>
        </w:rPr>
        <w:t xml:space="preserve"> </w:t>
      </w:r>
      <w:r>
        <w:rPr>
          <w:rFonts w:ascii="Calibri" w:hAnsi="Calibri" w:cs="Calibri"/>
        </w:rPr>
        <w:t>Правительства ХМАО - Югры от 12.12.2014 N 481-п)</w:t>
      </w:r>
      <w:r w:rsidR="002345E3">
        <w:rPr>
          <w:rFonts w:ascii="Calibri" w:hAnsi="Calibri" w:cs="Calibri"/>
        </w:rPr>
        <w:t>.</w:t>
      </w:r>
      <w:r w:rsidR="00362BD4">
        <w:rPr>
          <w:rFonts w:ascii="Calibri" w:hAnsi="Calibri" w:cs="Calibri"/>
        </w:rPr>
        <w:t xml:space="preserve"> В ходе исполнения государственного задания (с учетом приказов Департамента культуры) в структуре затрат </w:t>
      </w:r>
      <w:r w:rsidR="00187AE4">
        <w:rPr>
          <w:rFonts w:ascii="Calibri" w:hAnsi="Calibri" w:cs="Calibri"/>
        </w:rPr>
        <w:t xml:space="preserve">учреждения </w:t>
      </w:r>
      <w:r w:rsidR="00362BD4">
        <w:rPr>
          <w:rFonts w:ascii="Calibri" w:hAnsi="Calibri" w:cs="Calibri"/>
        </w:rPr>
        <w:t>произошли изменения, которые нашли отражения в ПФХД.</w:t>
      </w:r>
    </w:p>
    <w:p w:rsidR="00E62651" w:rsidRDefault="002345E3" w:rsidP="00E62651">
      <w:pPr>
        <w:autoSpaceDE w:val="0"/>
        <w:autoSpaceDN w:val="0"/>
        <w:adjustRightInd w:val="0"/>
        <w:spacing w:after="0" w:line="240" w:lineRule="auto"/>
        <w:jc w:val="both"/>
      </w:pPr>
      <w:r w:rsidRPr="00F564CD">
        <w:t>Приказом Департамента культуры от 18.07.2014 года № 245/01-09 в государственное задание БУ КТЦ « Югра-Классик» на 2014 год были внесены изменения. Приказом Департамента культуры от 31.10.2014 года № 380/01-09 в государственное задание БУ КТЦ « Югра-Классик» на 2014 год были внесены изменения.(Вх. № 1104 от</w:t>
      </w:r>
      <w:r w:rsidR="00F564CD" w:rsidRPr="00F564CD">
        <w:t xml:space="preserve"> </w:t>
      </w:r>
      <w:r w:rsidRPr="00F564CD">
        <w:t>24.11.2014)</w:t>
      </w:r>
      <w:r w:rsidR="00F564CD" w:rsidRPr="00F564CD">
        <w:t xml:space="preserve"> и Приказом Департамента культуры от 01.09.2014 года № 301/01-09.(Вх. № 1103 от 24.11.2014) отменен приказ Департамента культуры от 18.07.2014 года № 245/01-09. </w:t>
      </w:r>
      <w:r w:rsidR="00A001C2">
        <w:t xml:space="preserve">Распоряжением Правительства ХМАО-Югры от 6 сентября 2014 года № 490-рп изменен тип бюджетного учреждения на автономный. Свидетельство о государственной регистрации </w:t>
      </w:r>
      <w:r w:rsidR="00E5440A">
        <w:t xml:space="preserve"> № </w:t>
      </w:r>
      <w:r w:rsidR="00A001C2">
        <w:t>1028600507759 от 02.10.2014.</w:t>
      </w:r>
    </w:p>
    <w:p w:rsidR="00E62651" w:rsidRDefault="00F564CD" w:rsidP="00E62651">
      <w:pPr>
        <w:autoSpaceDE w:val="0"/>
        <w:autoSpaceDN w:val="0"/>
        <w:adjustRightInd w:val="0"/>
        <w:spacing w:after="0" w:line="240" w:lineRule="auto"/>
        <w:jc w:val="both"/>
        <w:rPr>
          <w:rFonts w:ascii="Calibri" w:hAnsi="Calibri" w:cs="Calibri"/>
        </w:rPr>
      </w:pPr>
      <w:r w:rsidRPr="00F564CD">
        <w:t>Соглашения  о порядке и условиях предоставления субсидии на ф</w:t>
      </w:r>
      <w:r w:rsidR="00E62651">
        <w:t xml:space="preserve">инансовое обеспечение выполнения   </w:t>
      </w:r>
      <w:r w:rsidRPr="00F564CD">
        <w:t xml:space="preserve">    государственного задания на оказание государственных услуг (выполнение работ) государственными автономными и бюджетными учреждениями Ханты-Мансийского автономного округа </w:t>
      </w:r>
      <w:r>
        <w:t>–</w:t>
      </w:r>
      <w:r w:rsidRPr="00F564CD">
        <w:t xml:space="preserve"> Югры</w:t>
      </w:r>
      <w:r>
        <w:t xml:space="preserve"> </w:t>
      </w:r>
      <w:r w:rsidR="00A001C2">
        <w:t xml:space="preserve"> </w:t>
      </w:r>
      <w:r>
        <w:t>согласно</w:t>
      </w:r>
      <w:r w:rsidR="00E62651">
        <w:t xml:space="preserve"> </w:t>
      </w:r>
      <w:r w:rsidR="00A001C2">
        <w:t xml:space="preserve"> Постановлению Правительства ХМАО-Югры по форме, установленной </w:t>
      </w:r>
      <w:r w:rsidR="00A001C2">
        <w:rPr>
          <w:rFonts w:ascii="Calibri" w:hAnsi="Calibri" w:cs="Calibri"/>
        </w:rPr>
        <w:t>приказом</w:t>
      </w:r>
      <w:r w:rsidR="00E62651">
        <w:rPr>
          <w:rFonts w:ascii="Calibri" w:hAnsi="Calibri" w:cs="Calibri"/>
        </w:rPr>
        <w:t xml:space="preserve"> Департамента финансов ХМАО-Югры 0т 27.10.2010 № 34 </w:t>
      </w:r>
      <w:r w:rsidR="00187AE4">
        <w:rPr>
          <w:rFonts w:ascii="Calibri" w:hAnsi="Calibri" w:cs="Calibri"/>
        </w:rPr>
        <w:t xml:space="preserve">–нп </w:t>
      </w:r>
      <w:r w:rsidR="00E62651">
        <w:rPr>
          <w:rFonts w:ascii="Calibri" w:hAnsi="Calibri" w:cs="Calibri"/>
        </w:rPr>
        <w:t>на 2014 год</w:t>
      </w:r>
      <w:r w:rsidR="00362BD4">
        <w:rPr>
          <w:rFonts w:ascii="Calibri" w:hAnsi="Calibri" w:cs="Calibri"/>
        </w:rPr>
        <w:t xml:space="preserve"> не заключались. Приказ о назначении директора АУ КТЦ «Югра-Классик» в учреждение не направлялся.</w:t>
      </w:r>
    </w:p>
    <w:p w:rsidR="00362BD4" w:rsidRDefault="00362BD4" w:rsidP="00E62651">
      <w:pPr>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задание </w:t>
      </w:r>
      <w:r w:rsidR="001B4A86">
        <w:rPr>
          <w:rFonts w:ascii="Calibri" w:hAnsi="Calibri" w:cs="Calibri"/>
        </w:rPr>
        <w:t xml:space="preserve"> в натуральных показателях по «концертно-зрелищной» услуге перевыполнено.</w:t>
      </w:r>
    </w:p>
    <w:p w:rsidR="00362BD4" w:rsidRDefault="00362BD4" w:rsidP="00E62651">
      <w:pPr>
        <w:autoSpaceDE w:val="0"/>
        <w:autoSpaceDN w:val="0"/>
        <w:adjustRightInd w:val="0"/>
        <w:spacing w:after="0" w:line="240" w:lineRule="auto"/>
        <w:jc w:val="both"/>
        <w:rPr>
          <w:rFonts w:ascii="Calibri" w:hAnsi="Calibri" w:cs="Calibri"/>
        </w:rPr>
      </w:pPr>
      <w:r>
        <w:rPr>
          <w:rFonts w:ascii="Calibri" w:hAnsi="Calibri" w:cs="Calibri"/>
        </w:rPr>
        <w:t>Характеристика причин отклонения от запланированных значений</w:t>
      </w:r>
      <w:r w:rsidR="00E5440A">
        <w:rPr>
          <w:rFonts w:ascii="Calibri" w:hAnsi="Calibri" w:cs="Calibri"/>
        </w:rPr>
        <w:t xml:space="preserve"> по каждому показателю</w:t>
      </w:r>
      <w:r>
        <w:rPr>
          <w:rFonts w:ascii="Calibri" w:hAnsi="Calibri" w:cs="Calibri"/>
        </w:rPr>
        <w:t xml:space="preserve"> указана</w:t>
      </w:r>
      <w:r w:rsidR="001B4A86">
        <w:rPr>
          <w:rFonts w:ascii="Calibri" w:hAnsi="Calibri" w:cs="Calibri"/>
        </w:rPr>
        <w:t xml:space="preserve"> в отчете.</w:t>
      </w:r>
      <w:r w:rsidR="00187AE4">
        <w:rPr>
          <w:rFonts w:ascii="Calibri" w:hAnsi="Calibri" w:cs="Calibri"/>
        </w:rPr>
        <w:t xml:space="preserve"> Приложение № 1. Поквартальный Отчет об исполнении государственного задания  АУ  КТЦ «Югра-Классик» (в том числе БУ КТЦ «Югра-Классик»  )   за 2014 год</w:t>
      </w:r>
      <w:r w:rsidR="00E5440A">
        <w:rPr>
          <w:rFonts w:ascii="Calibri" w:hAnsi="Calibri" w:cs="Calibri"/>
        </w:rPr>
        <w:t>.</w:t>
      </w:r>
    </w:p>
    <w:p w:rsidR="00E5440A" w:rsidRDefault="00E5440A" w:rsidP="00E62651">
      <w:pPr>
        <w:autoSpaceDE w:val="0"/>
        <w:autoSpaceDN w:val="0"/>
        <w:adjustRightInd w:val="0"/>
        <w:spacing w:after="0" w:line="240" w:lineRule="auto"/>
        <w:jc w:val="both"/>
        <w:rPr>
          <w:rFonts w:ascii="Calibri" w:hAnsi="Calibri" w:cs="Calibri"/>
        </w:rPr>
      </w:pPr>
    </w:p>
    <w:p w:rsidR="00E5440A" w:rsidRDefault="000E1337" w:rsidP="00E62651">
      <w:pPr>
        <w:autoSpaceDE w:val="0"/>
        <w:autoSpaceDN w:val="0"/>
        <w:adjustRightInd w:val="0"/>
        <w:spacing w:after="0" w:line="240" w:lineRule="auto"/>
        <w:jc w:val="both"/>
        <w:rPr>
          <w:rFonts w:ascii="Calibri" w:hAnsi="Calibri" w:cs="Calibri"/>
        </w:rPr>
      </w:pPr>
      <w:r>
        <w:rPr>
          <w:rFonts w:ascii="Calibri" w:hAnsi="Calibri" w:cs="Calibri"/>
        </w:rPr>
        <w:t xml:space="preserve">Приложение № 1. </w:t>
      </w:r>
      <w:r w:rsidR="00E5440A">
        <w:rPr>
          <w:rFonts w:ascii="Calibri" w:hAnsi="Calibri" w:cs="Calibri"/>
        </w:rPr>
        <w:t xml:space="preserve"> Отчет об исполнении государственного задания  АУ  КТЦ «Югра-Классик» (в том числе БУ КТЦ «Югра-Классик»  )   за 2014 год.</w:t>
      </w:r>
    </w:p>
    <w:p w:rsidR="001B4A86" w:rsidRDefault="003E5C32" w:rsidP="00E62651">
      <w:pPr>
        <w:autoSpaceDE w:val="0"/>
        <w:autoSpaceDN w:val="0"/>
        <w:adjustRightInd w:val="0"/>
        <w:spacing w:after="0" w:line="240" w:lineRule="auto"/>
        <w:jc w:val="both"/>
        <w:rPr>
          <w:rFonts w:ascii="Calibri" w:hAnsi="Calibri" w:cs="Calibri"/>
        </w:rPr>
      </w:pPr>
      <w:r>
        <w:rPr>
          <w:rFonts w:ascii="Calibri" w:hAnsi="Calibri" w:cs="Calibri"/>
        </w:rPr>
        <w:t>Отчет о проведении</w:t>
      </w:r>
      <w:r w:rsidR="001B4A86">
        <w:rPr>
          <w:rFonts w:ascii="Calibri" w:hAnsi="Calibri" w:cs="Calibri"/>
        </w:rPr>
        <w:t xml:space="preserve"> мероприятий на выездах (гастролях) БУ КТЦ «Югра-Классик»  за 3</w:t>
      </w:r>
      <w:r w:rsidR="00187AE4">
        <w:rPr>
          <w:rFonts w:ascii="Calibri" w:hAnsi="Calibri" w:cs="Calibri"/>
        </w:rPr>
        <w:t xml:space="preserve"> квартала Приложение №2.</w:t>
      </w:r>
      <w:r w:rsidR="005A231F">
        <w:rPr>
          <w:rFonts w:ascii="Calibri" w:hAnsi="Calibri" w:cs="Calibri"/>
        </w:rPr>
        <w:t xml:space="preserve"> (4</w:t>
      </w:r>
      <w:r w:rsidR="00457756">
        <w:rPr>
          <w:rFonts w:ascii="Calibri" w:hAnsi="Calibri" w:cs="Calibri"/>
        </w:rPr>
        <w:t>л.</w:t>
      </w:r>
      <w:r w:rsidR="00521E34">
        <w:rPr>
          <w:rFonts w:ascii="Calibri" w:hAnsi="Calibri" w:cs="Calibri"/>
        </w:rPr>
        <w:t>)</w:t>
      </w:r>
    </w:p>
    <w:p w:rsidR="00457756" w:rsidRDefault="003E5C32" w:rsidP="00457756">
      <w:pPr>
        <w:autoSpaceDE w:val="0"/>
        <w:autoSpaceDN w:val="0"/>
        <w:adjustRightInd w:val="0"/>
        <w:spacing w:after="0" w:line="240" w:lineRule="auto"/>
        <w:jc w:val="both"/>
        <w:rPr>
          <w:rFonts w:ascii="Calibri" w:hAnsi="Calibri" w:cs="Calibri"/>
        </w:rPr>
      </w:pPr>
      <w:r>
        <w:rPr>
          <w:rFonts w:ascii="Calibri" w:hAnsi="Calibri" w:cs="Calibri"/>
        </w:rPr>
        <w:lastRenderedPageBreak/>
        <w:t>Отчет о проведении</w:t>
      </w:r>
      <w:r w:rsidR="00457756">
        <w:rPr>
          <w:rFonts w:ascii="Calibri" w:hAnsi="Calibri" w:cs="Calibri"/>
        </w:rPr>
        <w:t xml:space="preserve"> мероприятий на выездах (гастролях) АУ КТЦ «Югра-Классик»  за 4 квартал</w:t>
      </w:r>
      <w:r w:rsidR="00187AE4">
        <w:rPr>
          <w:rFonts w:ascii="Calibri" w:hAnsi="Calibri" w:cs="Calibri"/>
        </w:rPr>
        <w:t xml:space="preserve"> Приложение №2.1</w:t>
      </w:r>
      <w:r w:rsidR="005A231F">
        <w:rPr>
          <w:rFonts w:ascii="Calibri" w:hAnsi="Calibri" w:cs="Calibri"/>
        </w:rPr>
        <w:t>. (2л.</w:t>
      </w:r>
      <w:r w:rsidR="00457756">
        <w:rPr>
          <w:rFonts w:ascii="Calibri" w:hAnsi="Calibri" w:cs="Calibri"/>
        </w:rPr>
        <w:t>)</w:t>
      </w:r>
    </w:p>
    <w:p w:rsidR="00521E34" w:rsidRDefault="003E5C32" w:rsidP="00521E34">
      <w:pPr>
        <w:autoSpaceDE w:val="0"/>
        <w:autoSpaceDN w:val="0"/>
        <w:adjustRightInd w:val="0"/>
        <w:spacing w:after="0" w:line="240" w:lineRule="auto"/>
        <w:jc w:val="both"/>
        <w:rPr>
          <w:rFonts w:ascii="Calibri" w:hAnsi="Calibri" w:cs="Calibri"/>
        </w:rPr>
      </w:pPr>
      <w:r>
        <w:rPr>
          <w:rFonts w:ascii="Calibri" w:hAnsi="Calibri" w:cs="Calibri"/>
        </w:rPr>
        <w:t>Отчет о создании</w:t>
      </w:r>
      <w:r w:rsidR="00521E34">
        <w:rPr>
          <w:rFonts w:ascii="Calibri" w:hAnsi="Calibri" w:cs="Calibri"/>
        </w:rPr>
        <w:t xml:space="preserve"> новых концертных программ (премьерный показ) БУ КТЦ «Югра-Классик»  за 3</w:t>
      </w:r>
      <w:r w:rsidR="00187AE4">
        <w:rPr>
          <w:rFonts w:ascii="Calibri" w:hAnsi="Calibri" w:cs="Calibri"/>
        </w:rPr>
        <w:t xml:space="preserve"> квартала Приложение №3</w:t>
      </w:r>
      <w:r w:rsidR="005A231F">
        <w:rPr>
          <w:rFonts w:ascii="Calibri" w:hAnsi="Calibri" w:cs="Calibri"/>
        </w:rPr>
        <w:t>.(6</w:t>
      </w:r>
      <w:r w:rsidR="00521E34">
        <w:rPr>
          <w:rFonts w:ascii="Calibri" w:hAnsi="Calibri" w:cs="Calibri"/>
        </w:rPr>
        <w:t xml:space="preserve"> л.)</w:t>
      </w:r>
    </w:p>
    <w:p w:rsidR="00521E34" w:rsidRDefault="003E5C32" w:rsidP="00521E34">
      <w:pPr>
        <w:autoSpaceDE w:val="0"/>
        <w:autoSpaceDN w:val="0"/>
        <w:adjustRightInd w:val="0"/>
        <w:spacing w:after="0" w:line="240" w:lineRule="auto"/>
        <w:jc w:val="both"/>
        <w:rPr>
          <w:rFonts w:ascii="Calibri" w:hAnsi="Calibri" w:cs="Calibri"/>
        </w:rPr>
      </w:pPr>
      <w:r>
        <w:rPr>
          <w:rFonts w:ascii="Calibri" w:hAnsi="Calibri" w:cs="Calibri"/>
        </w:rPr>
        <w:t>Отчет о создании</w:t>
      </w:r>
      <w:r w:rsidR="00521E34">
        <w:rPr>
          <w:rFonts w:ascii="Calibri" w:hAnsi="Calibri" w:cs="Calibri"/>
        </w:rPr>
        <w:t xml:space="preserve"> новых концертных программ (премьерный показ) АУ КТЦ «Югра-Классик»  за 4 квартал</w:t>
      </w:r>
      <w:r w:rsidR="00187AE4">
        <w:rPr>
          <w:rFonts w:ascii="Calibri" w:hAnsi="Calibri" w:cs="Calibri"/>
        </w:rPr>
        <w:t xml:space="preserve"> Приложение №</w:t>
      </w:r>
      <w:r>
        <w:rPr>
          <w:rFonts w:ascii="Calibri" w:hAnsi="Calibri" w:cs="Calibri"/>
        </w:rPr>
        <w:t xml:space="preserve"> </w:t>
      </w:r>
      <w:r w:rsidR="00187AE4">
        <w:rPr>
          <w:rFonts w:ascii="Calibri" w:hAnsi="Calibri" w:cs="Calibri"/>
        </w:rPr>
        <w:t>3</w:t>
      </w:r>
      <w:r w:rsidR="00521E34">
        <w:rPr>
          <w:rFonts w:ascii="Calibri" w:hAnsi="Calibri" w:cs="Calibri"/>
        </w:rPr>
        <w:t>.1.</w:t>
      </w:r>
      <w:r w:rsidR="005A231F">
        <w:rPr>
          <w:rFonts w:ascii="Calibri" w:hAnsi="Calibri" w:cs="Calibri"/>
        </w:rPr>
        <w:t>(4л.)</w:t>
      </w:r>
    </w:p>
    <w:p w:rsidR="00E5440A" w:rsidRDefault="003E5C32" w:rsidP="00E5440A">
      <w:pPr>
        <w:autoSpaceDE w:val="0"/>
        <w:autoSpaceDN w:val="0"/>
        <w:adjustRightInd w:val="0"/>
        <w:spacing w:after="0" w:line="240" w:lineRule="auto"/>
        <w:jc w:val="both"/>
        <w:rPr>
          <w:rFonts w:ascii="Calibri" w:hAnsi="Calibri" w:cs="Calibri"/>
        </w:rPr>
      </w:pPr>
      <w:r>
        <w:rPr>
          <w:rFonts w:ascii="Calibri" w:hAnsi="Calibri" w:cs="Calibri"/>
        </w:rPr>
        <w:t xml:space="preserve">Отчет о проведении </w:t>
      </w:r>
      <w:r w:rsidR="00E5440A">
        <w:rPr>
          <w:rFonts w:ascii="Calibri" w:hAnsi="Calibri" w:cs="Calibri"/>
        </w:rPr>
        <w:t xml:space="preserve"> мероприятий в рамках государственного задания  по концертно-зрелищной услу</w:t>
      </w:r>
      <w:r w:rsidR="000F70B9">
        <w:rPr>
          <w:rFonts w:ascii="Calibri" w:hAnsi="Calibri" w:cs="Calibri"/>
        </w:rPr>
        <w:t xml:space="preserve">ге силами собственных коллективов </w:t>
      </w:r>
      <w:bookmarkStart w:id="0" w:name="_GoBack"/>
      <w:bookmarkEnd w:id="0"/>
      <w:r w:rsidR="00E5440A">
        <w:rPr>
          <w:rFonts w:ascii="Calibri" w:hAnsi="Calibri" w:cs="Calibri"/>
        </w:rPr>
        <w:t xml:space="preserve"> АУ КТЦ «Югра-Классик»  з</w:t>
      </w:r>
      <w:r w:rsidR="000F70B9">
        <w:rPr>
          <w:rFonts w:ascii="Calibri" w:hAnsi="Calibri" w:cs="Calibri"/>
        </w:rPr>
        <w:t>а 4 квартал Приложение № 4. (2</w:t>
      </w:r>
      <w:r w:rsidR="00E5440A">
        <w:rPr>
          <w:rFonts w:ascii="Calibri" w:hAnsi="Calibri" w:cs="Calibri"/>
        </w:rPr>
        <w:t xml:space="preserve"> л.)</w:t>
      </w:r>
    </w:p>
    <w:p w:rsidR="000F70B9" w:rsidRDefault="000F70B9" w:rsidP="000F70B9">
      <w:pPr>
        <w:autoSpaceDE w:val="0"/>
        <w:autoSpaceDN w:val="0"/>
        <w:adjustRightInd w:val="0"/>
        <w:spacing w:after="0" w:line="240" w:lineRule="auto"/>
        <w:jc w:val="both"/>
        <w:rPr>
          <w:rFonts w:ascii="Calibri" w:hAnsi="Calibri" w:cs="Calibri"/>
        </w:rPr>
      </w:pPr>
      <w:r>
        <w:rPr>
          <w:rFonts w:ascii="Calibri" w:hAnsi="Calibri" w:cs="Calibri"/>
        </w:rPr>
        <w:t>Отчет о проведении  мероприятий в рамках государственного задания  по концертно-зрелищной услуге силами сторонних организаций  сверх установленного задания АУ КТЦ «Югра-Классик»  за 4 квартал Приложение № 4.1. (1 л.)</w:t>
      </w:r>
    </w:p>
    <w:p w:rsidR="00860C57" w:rsidRDefault="00860C57" w:rsidP="00521E34">
      <w:pPr>
        <w:autoSpaceDE w:val="0"/>
        <w:autoSpaceDN w:val="0"/>
        <w:adjustRightInd w:val="0"/>
        <w:spacing w:after="0" w:line="240" w:lineRule="auto"/>
        <w:jc w:val="both"/>
        <w:rPr>
          <w:rFonts w:ascii="Calibri" w:hAnsi="Calibri" w:cs="Calibri"/>
        </w:rPr>
      </w:pPr>
    </w:p>
    <w:p w:rsidR="00457756" w:rsidRDefault="00457756" w:rsidP="00521E34">
      <w:pPr>
        <w:autoSpaceDE w:val="0"/>
        <w:autoSpaceDN w:val="0"/>
        <w:adjustRightInd w:val="0"/>
        <w:spacing w:after="0" w:line="240" w:lineRule="auto"/>
        <w:jc w:val="both"/>
        <w:rPr>
          <w:rFonts w:ascii="Calibri" w:hAnsi="Calibri" w:cs="Calibri"/>
        </w:rPr>
      </w:pPr>
      <w:r>
        <w:rPr>
          <w:rFonts w:ascii="Calibri" w:hAnsi="Calibri" w:cs="Calibri"/>
        </w:rPr>
        <w:t>По прежнему остается не решенным вопрос о том, как в отчетах отражать мероприятия органов исполнительной власти, включенных в государственное задание учреждению как концертная услуга. При исполнении такого рода услуг в основном задействованы помещения КТЦ «Югра-Классик»  , вспомогательный  и административный персонал</w:t>
      </w:r>
      <w:r w:rsidR="00437761">
        <w:rPr>
          <w:rFonts w:ascii="Calibri" w:hAnsi="Calibri" w:cs="Calibri"/>
        </w:rPr>
        <w:t xml:space="preserve"> учреждения. В отчете </w:t>
      </w:r>
      <w:r w:rsidR="00A001C2">
        <w:rPr>
          <w:rFonts w:ascii="Calibri" w:hAnsi="Calibri" w:cs="Calibri"/>
        </w:rPr>
        <w:t xml:space="preserve"> учреждения </w:t>
      </w:r>
      <w:r w:rsidR="00437761">
        <w:rPr>
          <w:rFonts w:ascii="Calibri" w:hAnsi="Calibri" w:cs="Calibri"/>
        </w:rPr>
        <w:t>такие услуги отнесены к  разделу «проведение мероприятий на площадках учреждения силами  сторонних организаций»</w:t>
      </w:r>
      <w:r w:rsidR="00860C57">
        <w:rPr>
          <w:rFonts w:ascii="Calibri" w:hAnsi="Calibri" w:cs="Calibri"/>
        </w:rPr>
        <w:t xml:space="preserve"> в четвертом квартале</w:t>
      </w:r>
      <w:r w:rsidR="00437761">
        <w:rPr>
          <w:rFonts w:ascii="Calibri" w:hAnsi="Calibri" w:cs="Calibri"/>
        </w:rPr>
        <w:t>, однако в действительности , задействованы специалисты учреждения, что находит свое подтверждение в технических заданиях,  в планах обеспечения, приказах Департамента культуры</w:t>
      </w:r>
      <w:r w:rsidR="00860C57">
        <w:rPr>
          <w:rFonts w:ascii="Calibri" w:hAnsi="Calibri" w:cs="Calibri"/>
        </w:rPr>
        <w:t xml:space="preserve"> (Приложение № 5</w:t>
      </w:r>
      <w:r w:rsidR="00E5440A">
        <w:rPr>
          <w:rFonts w:ascii="Calibri" w:hAnsi="Calibri" w:cs="Calibri"/>
        </w:rPr>
        <w:t xml:space="preserve"> и 5.1</w:t>
      </w:r>
      <w:r w:rsidR="00860C57">
        <w:rPr>
          <w:rFonts w:ascii="Calibri" w:hAnsi="Calibri" w:cs="Calibri"/>
        </w:rPr>
        <w:t>)</w:t>
      </w:r>
      <w:r w:rsidR="00437761">
        <w:rPr>
          <w:rFonts w:ascii="Calibri" w:hAnsi="Calibri" w:cs="Calibri"/>
        </w:rPr>
        <w:t>.</w:t>
      </w:r>
      <w:r w:rsidR="00A001C2">
        <w:rPr>
          <w:rFonts w:ascii="Calibri" w:hAnsi="Calibri" w:cs="Calibri"/>
        </w:rPr>
        <w:t xml:space="preserve"> </w:t>
      </w:r>
    </w:p>
    <w:p w:rsidR="000F70B9" w:rsidRDefault="000F70B9" w:rsidP="00457756">
      <w:pPr>
        <w:autoSpaceDE w:val="0"/>
        <w:autoSpaceDN w:val="0"/>
        <w:adjustRightInd w:val="0"/>
        <w:spacing w:after="0" w:line="240" w:lineRule="auto"/>
        <w:jc w:val="both"/>
        <w:rPr>
          <w:rFonts w:ascii="Calibri" w:hAnsi="Calibri" w:cs="Calibri"/>
        </w:rPr>
      </w:pPr>
    </w:p>
    <w:p w:rsidR="00457756" w:rsidRPr="003E5C32" w:rsidRDefault="003E5C32" w:rsidP="00457756">
      <w:pPr>
        <w:autoSpaceDE w:val="0"/>
        <w:autoSpaceDN w:val="0"/>
        <w:adjustRightInd w:val="0"/>
        <w:spacing w:after="0" w:line="240" w:lineRule="auto"/>
        <w:jc w:val="both"/>
        <w:rPr>
          <w:rFonts w:ascii="Calibri" w:hAnsi="Calibri" w:cs="Calibri"/>
        </w:rPr>
      </w:pPr>
      <w:r>
        <w:rPr>
          <w:rFonts w:ascii="Calibri" w:hAnsi="Calibri" w:cs="Calibri"/>
        </w:rPr>
        <w:t>Отчет</w:t>
      </w:r>
      <w:r w:rsidRPr="003E5C32">
        <w:rPr>
          <w:rFonts w:ascii="Calibri" w:hAnsi="Calibri" w:cs="Calibri"/>
        </w:rPr>
        <w:t xml:space="preserve"> БУ КТЦ «Югра-Классик»  </w:t>
      </w:r>
      <w:r>
        <w:rPr>
          <w:rFonts w:ascii="Calibri" w:hAnsi="Calibri" w:cs="Calibri"/>
        </w:rPr>
        <w:t xml:space="preserve"> о проведении </w:t>
      </w:r>
      <w:r w:rsidR="00457756" w:rsidRPr="003E5C32">
        <w:rPr>
          <w:rFonts w:ascii="Calibri" w:hAnsi="Calibri" w:cs="Calibri"/>
        </w:rPr>
        <w:t xml:space="preserve"> мероприятий</w:t>
      </w:r>
      <w:r w:rsidR="00A001C2" w:rsidRPr="003E5C32">
        <w:rPr>
          <w:rFonts w:ascii="Calibri" w:hAnsi="Calibri" w:cs="Calibri"/>
        </w:rPr>
        <w:t xml:space="preserve"> в рамках государственного задания</w:t>
      </w:r>
      <w:r w:rsidR="00457756" w:rsidRPr="003E5C32">
        <w:rPr>
          <w:rFonts w:ascii="Calibri" w:hAnsi="Calibri" w:cs="Calibri"/>
        </w:rPr>
        <w:t xml:space="preserve"> </w:t>
      </w:r>
      <w:r w:rsidR="00A001C2" w:rsidRPr="003E5C32">
        <w:rPr>
          <w:rFonts w:ascii="Calibri" w:hAnsi="Calibri" w:cs="Calibri"/>
        </w:rPr>
        <w:t xml:space="preserve"> в соответствии с распоряжением исполнительных органов государственной власти за 3 квартала Приложение № 5</w:t>
      </w:r>
      <w:r w:rsidR="005A231F">
        <w:rPr>
          <w:rFonts w:ascii="Calibri" w:hAnsi="Calibri" w:cs="Calibri"/>
        </w:rPr>
        <w:t>. (5 л.</w:t>
      </w:r>
      <w:r w:rsidR="00457756" w:rsidRPr="003E5C32">
        <w:rPr>
          <w:rFonts w:ascii="Calibri" w:hAnsi="Calibri" w:cs="Calibri"/>
        </w:rPr>
        <w:t>)</w:t>
      </w:r>
    </w:p>
    <w:p w:rsidR="00A001C2" w:rsidRPr="003E5C32" w:rsidRDefault="003E5C32" w:rsidP="00A001C2">
      <w:pPr>
        <w:autoSpaceDE w:val="0"/>
        <w:autoSpaceDN w:val="0"/>
        <w:adjustRightInd w:val="0"/>
        <w:spacing w:after="0" w:line="240" w:lineRule="auto"/>
        <w:jc w:val="both"/>
        <w:rPr>
          <w:rFonts w:ascii="Calibri" w:hAnsi="Calibri" w:cs="Calibri"/>
        </w:rPr>
      </w:pPr>
      <w:r>
        <w:rPr>
          <w:rFonts w:ascii="Calibri" w:hAnsi="Calibri" w:cs="Calibri"/>
        </w:rPr>
        <w:t>Отчет</w:t>
      </w:r>
      <w:r w:rsidRPr="003E5C32">
        <w:rPr>
          <w:rFonts w:ascii="Calibri" w:hAnsi="Calibri" w:cs="Calibri"/>
        </w:rPr>
        <w:t xml:space="preserve"> </w:t>
      </w:r>
      <w:r>
        <w:rPr>
          <w:rFonts w:ascii="Calibri" w:hAnsi="Calibri" w:cs="Calibri"/>
        </w:rPr>
        <w:t>А</w:t>
      </w:r>
      <w:r w:rsidRPr="003E5C32">
        <w:rPr>
          <w:rFonts w:ascii="Calibri" w:hAnsi="Calibri" w:cs="Calibri"/>
        </w:rPr>
        <w:t xml:space="preserve">У КТЦ «Югра-Классик»  </w:t>
      </w:r>
      <w:r>
        <w:rPr>
          <w:rFonts w:ascii="Calibri" w:hAnsi="Calibri" w:cs="Calibri"/>
        </w:rPr>
        <w:t xml:space="preserve"> о проведении </w:t>
      </w:r>
      <w:r w:rsidRPr="003E5C32">
        <w:rPr>
          <w:rFonts w:ascii="Calibri" w:hAnsi="Calibri" w:cs="Calibri"/>
        </w:rPr>
        <w:t xml:space="preserve"> </w:t>
      </w:r>
      <w:r w:rsidR="00A001C2" w:rsidRPr="003E5C32">
        <w:rPr>
          <w:rFonts w:ascii="Calibri" w:hAnsi="Calibri" w:cs="Calibri"/>
        </w:rPr>
        <w:t>мероприятий в рамках государственного задания  в соответствии с распоряжением исполнительных органов государственной власти  за 4 квартал Приложение № 5.</w:t>
      </w:r>
      <w:r w:rsidR="00860C57" w:rsidRPr="003E5C32">
        <w:rPr>
          <w:rFonts w:ascii="Calibri" w:hAnsi="Calibri" w:cs="Calibri"/>
        </w:rPr>
        <w:t>1.</w:t>
      </w:r>
      <w:r w:rsidR="00A001C2" w:rsidRPr="003E5C32">
        <w:rPr>
          <w:rFonts w:ascii="Calibri" w:hAnsi="Calibri" w:cs="Calibri"/>
        </w:rPr>
        <w:t xml:space="preserve"> (3</w:t>
      </w:r>
      <w:r w:rsidR="00E5440A" w:rsidRPr="003E5C32">
        <w:rPr>
          <w:rFonts w:ascii="Calibri" w:hAnsi="Calibri" w:cs="Calibri"/>
        </w:rPr>
        <w:t xml:space="preserve"> л.</w:t>
      </w:r>
      <w:r w:rsidR="00A001C2" w:rsidRPr="003E5C32">
        <w:rPr>
          <w:rFonts w:ascii="Calibri" w:hAnsi="Calibri" w:cs="Calibri"/>
        </w:rPr>
        <w:t>)</w:t>
      </w:r>
    </w:p>
    <w:p w:rsidR="00F564CD" w:rsidRPr="003E5C32" w:rsidRDefault="00F564CD" w:rsidP="00E62651">
      <w:pPr>
        <w:pStyle w:val="ConsPlusNonformat"/>
        <w:jc w:val="both"/>
        <w:rPr>
          <w:rFonts w:asciiTheme="minorHAnsi" w:hAnsiTheme="minorHAnsi" w:cstheme="minorBidi"/>
          <w:sz w:val="22"/>
          <w:szCs w:val="22"/>
        </w:rPr>
      </w:pPr>
    </w:p>
    <w:p w:rsidR="00F564CD" w:rsidRPr="00F564CD" w:rsidRDefault="00F564CD" w:rsidP="00E62651">
      <w:pPr>
        <w:pStyle w:val="ConsPlusNonformat"/>
        <w:jc w:val="both"/>
        <w:rPr>
          <w:rFonts w:asciiTheme="minorHAnsi" w:hAnsiTheme="minorHAnsi" w:cstheme="minorBidi"/>
          <w:sz w:val="22"/>
          <w:szCs w:val="22"/>
        </w:rPr>
      </w:pPr>
    </w:p>
    <w:p w:rsidR="00961A5C" w:rsidRPr="00B516A6" w:rsidRDefault="00961A5C" w:rsidP="00E62651">
      <w:pPr>
        <w:autoSpaceDE w:val="0"/>
        <w:autoSpaceDN w:val="0"/>
        <w:adjustRightInd w:val="0"/>
        <w:spacing w:after="0" w:line="240" w:lineRule="auto"/>
        <w:jc w:val="both"/>
      </w:pPr>
    </w:p>
    <w:p w:rsidR="00961A5C" w:rsidRPr="00B516A6" w:rsidRDefault="00961A5C" w:rsidP="00961A5C">
      <w:pPr>
        <w:autoSpaceDE w:val="0"/>
        <w:autoSpaceDN w:val="0"/>
        <w:adjustRightInd w:val="0"/>
        <w:spacing w:after="0" w:line="240" w:lineRule="auto"/>
        <w:jc w:val="both"/>
      </w:pPr>
    </w:p>
    <w:p w:rsidR="00B516A6" w:rsidRPr="00B516A6" w:rsidRDefault="00B516A6" w:rsidP="00B516A6">
      <w:pPr>
        <w:autoSpaceDE w:val="0"/>
        <w:autoSpaceDN w:val="0"/>
        <w:adjustRightInd w:val="0"/>
        <w:spacing w:after="0" w:line="240" w:lineRule="auto"/>
        <w:jc w:val="both"/>
      </w:pPr>
    </w:p>
    <w:p w:rsidR="00F564CD" w:rsidRPr="00F564CD" w:rsidRDefault="00F564CD" w:rsidP="00F564CD">
      <w:pPr>
        <w:pStyle w:val="ConsPlusNonformat"/>
        <w:jc w:val="both"/>
        <w:rPr>
          <w:rFonts w:asciiTheme="minorHAnsi" w:hAnsiTheme="minorHAnsi" w:cstheme="minorBidi"/>
          <w:sz w:val="22"/>
          <w:szCs w:val="22"/>
        </w:rPr>
      </w:pPr>
      <w:r w:rsidRPr="00F564CD">
        <w:rPr>
          <w:rFonts w:asciiTheme="minorHAnsi" w:hAnsiTheme="minorHAnsi" w:cstheme="minorBidi"/>
          <w:sz w:val="22"/>
          <w:szCs w:val="22"/>
        </w:rPr>
        <w:t xml:space="preserve">    </w:t>
      </w:r>
      <w:r w:rsidR="00361162">
        <w:rPr>
          <w:rFonts w:asciiTheme="minorHAnsi" w:hAnsiTheme="minorHAnsi" w:cstheme="minorBidi"/>
          <w:sz w:val="22"/>
          <w:szCs w:val="22"/>
        </w:rPr>
        <w:t>Директор                                                                                            Яковлев А.Н.</w:t>
      </w:r>
      <w:r w:rsidRPr="00F564CD">
        <w:rPr>
          <w:rFonts w:asciiTheme="minorHAnsi" w:hAnsiTheme="minorHAnsi" w:cstheme="minorBidi"/>
          <w:sz w:val="22"/>
          <w:szCs w:val="22"/>
        </w:rPr>
        <w:t xml:space="preserve">            </w:t>
      </w:r>
    </w:p>
    <w:p w:rsidR="00F564CD" w:rsidRPr="00F564CD" w:rsidRDefault="00F564CD" w:rsidP="00F564CD">
      <w:pPr>
        <w:pStyle w:val="ConsPlusNonformat"/>
        <w:jc w:val="both"/>
        <w:rPr>
          <w:rFonts w:asciiTheme="minorHAnsi" w:hAnsiTheme="minorHAnsi" w:cstheme="minorBidi"/>
          <w:sz w:val="22"/>
          <w:szCs w:val="22"/>
        </w:rPr>
      </w:pPr>
      <w:r w:rsidRPr="00F564CD">
        <w:rPr>
          <w:rFonts w:asciiTheme="minorHAnsi" w:hAnsiTheme="minorHAnsi" w:cstheme="minorBidi"/>
          <w:sz w:val="22"/>
          <w:szCs w:val="22"/>
        </w:rPr>
        <w:t xml:space="preserve">         </w:t>
      </w:r>
    </w:p>
    <w:p w:rsidR="00F564CD" w:rsidRPr="00F564CD" w:rsidRDefault="00F564CD" w:rsidP="00F564CD">
      <w:pPr>
        <w:pStyle w:val="ConsPlusNonformat"/>
        <w:jc w:val="both"/>
        <w:rPr>
          <w:rFonts w:asciiTheme="minorHAnsi" w:hAnsiTheme="minorHAnsi" w:cstheme="minorBidi"/>
          <w:sz w:val="22"/>
          <w:szCs w:val="22"/>
        </w:rPr>
      </w:pPr>
      <w:r w:rsidRPr="00F564CD">
        <w:rPr>
          <w:rFonts w:asciiTheme="minorHAnsi" w:hAnsiTheme="minorHAnsi" w:cstheme="minorBidi"/>
          <w:sz w:val="22"/>
          <w:szCs w:val="22"/>
        </w:rPr>
        <w:t xml:space="preserve">                </w:t>
      </w:r>
    </w:p>
    <w:p w:rsidR="00F564CD" w:rsidRDefault="00F564CD" w:rsidP="00F564CD">
      <w:pPr>
        <w:autoSpaceDE w:val="0"/>
        <w:autoSpaceDN w:val="0"/>
        <w:adjustRightInd w:val="0"/>
        <w:spacing w:after="0" w:line="240" w:lineRule="auto"/>
        <w:jc w:val="right"/>
        <w:rPr>
          <w:rFonts w:ascii="Calibri" w:hAnsi="Calibri" w:cs="Calibri"/>
        </w:rPr>
      </w:pPr>
    </w:p>
    <w:p w:rsidR="00B516A6" w:rsidRDefault="00B516A6" w:rsidP="00B516A6">
      <w:pPr>
        <w:autoSpaceDE w:val="0"/>
        <w:autoSpaceDN w:val="0"/>
        <w:adjustRightInd w:val="0"/>
        <w:spacing w:after="0" w:line="240" w:lineRule="auto"/>
        <w:ind w:firstLine="540"/>
        <w:jc w:val="both"/>
        <w:rPr>
          <w:rFonts w:ascii="Calibri" w:hAnsi="Calibri" w:cs="Calibri"/>
        </w:rPr>
      </w:pPr>
    </w:p>
    <w:p w:rsidR="00B516A6" w:rsidRDefault="00B516A6" w:rsidP="00B516A6">
      <w:pPr>
        <w:autoSpaceDE w:val="0"/>
        <w:autoSpaceDN w:val="0"/>
        <w:adjustRightInd w:val="0"/>
        <w:spacing w:after="0" w:line="240" w:lineRule="auto"/>
        <w:ind w:firstLine="540"/>
        <w:jc w:val="both"/>
        <w:rPr>
          <w:rFonts w:ascii="Calibri" w:hAnsi="Calibri" w:cs="Calibri"/>
        </w:rPr>
      </w:pPr>
    </w:p>
    <w:p w:rsidR="00F564CD" w:rsidRDefault="00F564CD" w:rsidP="00B516A6">
      <w:pPr>
        <w:autoSpaceDE w:val="0"/>
        <w:autoSpaceDN w:val="0"/>
        <w:adjustRightInd w:val="0"/>
        <w:spacing w:after="0" w:line="240" w:lineRule="auto"/>
        <w:ind w:firstLine="540"/>
        <w:jc w:val="both"/>
        <w:rPr>
          <w:rFonts w:ascii="Calibri" w:hAnsi="Calibri" w:cs="Calibri"/>
        </w:rPr>
      </w:pPr>
    </w:p>
    <w:p w:rsidR="00F564CD" w:rsidRDefault="00F564CD" w:rsidP="00B516A6">
      <w:pPr>
        <w:autoSpaceDE w:val="0"/>
        <w:autoSpaceDN w:val="0"/>
        <w:adjustRightInd w:val="0"/>
        <w:spacing w:after="0" w:line="240" w:lineRule="auto"/>
        <w:ind w:firstLine="540"/>
        <w:jc w:val="both"/>
        <w:rPr>
          <w:rFonts w:ascii="Calibri" w:hAnsi="Calibri" w:cs="Calibri"/>
        </w:rPr>
      </w:pPr>
    </w:p>
    <w:p w:rsidR="00F564CD" w:rsidRDefault="00F564CD" w:rsidP="00B516A6">
      <w:pPr>
        <w:autoSpaceDE w:val="0"/>
        <w:autoSpaceDN w:val="0"/>
        <w:adjustRightInd w:val="0"/>
        <w:spacing w:after="0" w:line="240" w:lineRule="auto"/>
        <w:ind w:firstLine="540"/>
        <w:jc w:val="both"/>
        <w:rPr>
          <w:rFonts w:ascii="Calibri" w:hAnsi="Calibri" w:cs="Calibri"/>
        </w:rPr>
      </w:pPr>
    </w:p>
    <w:p w:rsidR="00F564CD" w:rsidRDefault="00F564CD"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p w:rsidR="00187AE4" w:rsidRDefault="00187AE4" w:rsidP="00B516A6">
      <w:pPr>
        <w:autoSpaceDE w:val="0"/>
        <w:autoSpaceDN w:val="0"/>
        <w:adjustRightInd w:val="0"/>
        <w:spacing w:after="0" w:line="240" w:lineRule="auto"/>
        <w:ind w:firstLine="540"/>
        <w:jc w:val="both"/>
        <w:rPr>
          <w:rFonts w:ascii="Calibri" w:hAnsi="Calibri" w:cs="Calibri"/>
        </w:rPr>
      </w:pPr>
    </w:p>
    <w:sectPr w:rsidR="00187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BD"/>
    <w:rsid w:val="00074942"/>
    <w:rsid w:val="000E1337"/>
    <w:rsid w:val="000F70B9"/>
    <w:rsid w:val="00187AE4"/>
    <w:rsid w:val="001B4A86"/>
    <w:rsid w:val="00204E3E"/>
    <w:rsid w:val="002345E3"/>
    <w:rsid w:val="00281BB7"/>
    <w:rsid w:val="00361162"/>
    <w:rsid w:val="00362BD4"/>
    <w:rsid w:val="003E5C32"/>
    <w:rsid w:val="00437761"/>
    <w:rsid w:val="00446FBD"/>
    <w:rsid w:val="00457756"/>
    <w:rsid w:val="00521E34"/>
    <w:rsid w:val="005A231F"/>
    <w:rsid w:val="00860C57"/>
    <w:rsid w:val="008C4912"/>
    <w:rsid w:val="008C556C"/>
    <w:rsid w:val="00961A5C"/>
    <w:rsid w:val="00A001C2"/>
    <w:rsid w:val="00A80FD4"/>
    <w:rsid w:val="00B516A6"/>
    <w:rsid w:val="00C45E23"/>
    <w:rsid w:val="00E5440A"/>
    <w:rsid w:val="00E62651"/>
    <w:rsid w:val="00F56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64CD"/>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187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64CD"/>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187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F5E6B425234176C546AF7957E0D74F873F5C5F8CFBFADBCCA76909C66F8A2DE00F5E19366DACCDFFE7A8893pCA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 Марина Ивановна</dc:creator>
  <cp:keywords/>
  <dc:description/>
  <cp:lastModifiedBy>Федоренко Марина Ивановна</cp:lastModifiedBy>
  <cp:revision>16</cp:revision>
  <cp:lastPrinted>2015-01-30T09:52:00Z</cp:lastPrinted>
  <dcterms:created xsi:type="dcterms:W3CDTF">2015-01-29T05:56:00Z</dcterms:created>
  <dcterms:modified xsi:type="dcterms:W3CDTF">2015-01-30T10:08:00Z</dcterms:modified>
</cp:coreProperties>
</file>